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ED8C" w14:textId="77777777" w:rsidR="00BB39F1" w:rsidRPr="00F7188E" w:rsidRDefault="00BB39F1" w:rsidP="00BB39F1">
      <w:pPr>
        <w:spacing w:line="264" w:lineRule="auto"/>
        <w:rPr>
          <w:rFonts w:ascii="Segoe UI" w:hAnsi="Segoe UI" w:cs="Segoe UI"/>
          <w:color w:val="0F4761" w:themeColor="accent1" w:themeShade="BF"/>
        </w:rPr>
      </w:pPr>
    </w:p>
    <w:p w14:paraId="7FEDD006" w14:textId="77777777" w:rsidR="00BB39F1" w:rsidRPr="00F7188E" w:rsidRDefault="00BB39F1" w:rsidP="00BB39F1">
      <w:pPr>
        <w:spacing w:line="264" w:lineRule="auto"/>
        <w:rPr>
          <w:rFonts w:ascii="Segoe UI" w:hAnsi="Segoe UI" w:cs="Segoe UI"/>
          <w:color w:val="0F4761" w:themeColor="accent1" w:themeShade="BF"/>
        </w:rPr>
      </w:pPr>
    </w:p>
    <w:p w14:paraId="32C288DD" w14:textId="7584C1F5" w:rsidR="00BB39F1" w:rsidRPr="00E920F3" w:rsidRDefault="00BB39F1" w:rsidP="00BB39F1">
      <w:pPr>
        <w:tabs>
          <w:tab w:val="left" w:pos="2268"/>
        </w:tabs>
        <w:spacing w:line="264" w:lineRule="auto"/>
        <w:rPr>
          <w:rFonts w:ascii="Segoe UI" w:eastAsia="Calibri" w:hAnsi="Segoe UI" w:cs="Segoe UI"/>
          <w:sz w:val="20"/>
          <w:szCs w:val="20"/>
        </w:rPr>
      </w:pPr>
      <w:r w:rsidRPr="00E920F3">
        <w:rPr>
          <w:rFonts w:ascii="Segoe UI" w:hAnsi="Segoe UI" w:cs="Segoe UI"/>
          <w:sz w:val="20"/>
          <w:szCs w:val="20"/>
        </w:rPr>
        <w:t xml:space="preserve">Příloha č. 06d </w:t>
      </w:r>
      <w:r w:rsidRPr="00E920F3">
        <w:rPr>
          <w:rFonts w:ascii="Segoe UI" w:hAnsi="Segoe UI" w:cs="Segoe UI"/>
          <w:sz w:val="20"/>
          <w:szCs w:val="20"/>
        </w:rPr>
        <w:tab/>
        <w:t>Pravidel pro žadatele a příjemce podpory v</w:t>
      </w:r>
      <w:r w:rsidRPr="00E920F3">
        <w:rPr>
          <w:rFonts w:ascii="Segoe UI" w:eastAsia="Calibri" w:hAnsi="Segoe UI" w:cs="Segoe UI"/>
          <w:sz w:val="20"/>
          <w:szCs w:val="20"/>
        </w:rPr>
        <w:t xml:space="preserve"> </w:t>
      </w:r>
      <w:r w:rsidR="005D2D4C">
        <w:rPr>
          <w:rFonts w:ascii="Segoe UI" w:hAnsi="Segoe UI" w:cs="Segoe UI"/>
          <w:sz w:val="20"/>
          <w:szCs w:val="20"/>
        </w:rPr>
        <w:t>OPST</w:t>
      </w:r>
      <w:r w:rsidRPr="00E920F3">
        <w:rPr>
          <w:rFonts w:ascii="Segoe UI" w:hAnsi="Segoe UI" w:cs="Segoe UI"/>
          <w:sz w:val="20"/>
          <w:szCs w:val="20"/>
        </w:rPr>
        <w:t xml:space="preserve"> pro období 2021–</w:t>
      </w:r>
      <w:r w:rsidRPr="00E920F3">
        <w:rPr>
          <w:rFonts w:ascii="Segoe UI" w:eastAsia="Calibri" w:hAnsi="Segoe UI" w:cs="Segoe UI"/>
          <w:sz w:val="20"/>
          <w:szCs w:val="20"/>
        </w:rPr>
        <w:t>2027</w:t>
      </w:r>
    </w:p>
    <w:p w14:paraId="4280609A" w14:textId="77777777" w:rsidR="00BB39F1" w:rsidRDefault="00BB39F1" w:rsidP="00BB39F1">
      <w:pPr>
        <w:tabs>
          <w:tab w:val="left" w:pos="2268"/>
        </w:tabs>
        <w:spacing w:line="264" w:lineRule="auto"/>
        <w:rPr>
          <w:rFonts w:ascii="Segoe UI" w:eastAsia="Calibri" w:hAnsi="Segoe UI" w:cs="Segoe UI"/>
        </w:rPr>
      </w:pPr>
    </w:p>
    <w:p w14:paraId="3D9E688D" w14:textId="77777777" w:rsidR="00BB39F1" w:rsidRDefault="00BB39F1" w:rsidP="00BB39F1">
      <w:pPr>
        <w:tabs>
          <w:tab w:val="left" w:pos="2268"/>
        </w:tabs>
        <w:spacing w:line="264" w:lineRule="auto"/>
        <w:rPr>
          <w:rFonts w:ascii="Segoe UI" w:eastAsia="Calibri" w:hAnsi="Segoe UI" w:cs="Segoe UI"/>
        </w:rPr>
      </w:pPr>
    </w:p>
    <w:p w14:paraId="6A3C17BD" w14:textId="77777777" w:rsidR="00BB39F1" w:rsidRDefault="00BB39F1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26F0F4D8" w14:textId="77777777" w:rsidR="005872E2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31F06DFB" w14:textId="77777777" w:rsidR="005872E2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7F0738FE" w14:textId="77777777" w:rsidR="005872E2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68FAEE7B" w14:textId="77777777" w:rsidR="005872E2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5DAEEC68" w14:textId="77777777" w:rsidR="005872E2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7626E62B" w14:textId="77777777" w:rsidR="005872E2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69809D3A" w14:textId="77777777" w:rsidR="005872E2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134EAD34" w14:textId="77777777" w:rsidR="005872E2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514EB9D3" w14:textId="77777777" w:rsidR="005872E2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101CB0B7" w14:textId="77777777" w:rsidR="005872E2" w:rsidRPr="00F50181" w:rsidRDefault="005872E2" w:rsidP="00BB39F1">
      <w:pPr>
        <w:tabs>
          <w:tab w:val="left" w:pos="2268"/>
        </w:tabs>
        <w:spacing w:line="264" w:lineRule="auto"/>
        <w:rPr>
          <w:rFonts w:ascii="Segoe UI" w:hAnsi="Segoe UI" w:cs="Segoe UI"/>
        </w:rPr>
      </w:pPr>
    </w:p>
    <w:p w14:paraId="351BD6B7" w14:textId="393129CB" w:rsidR="005872E2" w:rsidRDefault="000671F3" w:rsidP="00BB39F1">
      <w:pPr>
        <w:widowControl/>
        <w:spacing w:line="264" w:lineRule="auto"/>
        <w:jc w:val="center"/>
        <w:rPr>
          <w:rFonts w:ascii="Segoe UI" w:eastAsiaTheme="minorHAnsi" w:hAnsi="Segoe UI" w:cs="Segoe UI"/>
          <w:b/>
          <w:bCs/>
          <w:smallCaps/>
          <w:color w:val="0F4761" w:themeColor="accent1" w:themeShade="BF"/>
          <w:sz w:val="36"/>
          <w:szCs w:val="36"/>
        </w:rPr>
      </w:pPr>
      <w:r w:rsidRPr="00BB39F1">
        <w:rPr>
          <w:rFonts w:ascii="Segoe UI" w:eastAsiaTheme="minorHAnsi" w:hAnsi="Segoe UI" w:cs="Segoe UI"/>
          <w:b/>
          <w:bCs/>
          <w:smallCaps/>
          <w:color w:val="0F4761" w:themeColor="accent1" w:themeShade="BF"/>
          <w:sz w:val="36"/>
          <w:szCs w:val="36"/>
        </w:rPr>
        <w:t>Přehled finančních oprav při porušení povinností při zadávání veřejných zakázek</w:t>
      </w:r>
      <w:r w:rsidR="005D2D4C">
        <w:rPr>
          <w:rFonts w:ascii="Segoe UI" w:eastAsiaTheme="minorHAnsi" w:hAnsi="Segoe UI" w:cs="Segoe UI"/>
          <w:b/>
          <w:bCs/>
          <w:smallCaps/>
          <w:color w:val="0F4761" w:themeColor="accent1" w:themeShade="BF"/>
          <w:sz w:val="36"/>
          <w:szCs w:val="36"/>
        </w:rPr>
        <w:t xml:space="preserve"> v operačním programu Spravedlivá transformace pro období 2021-2027</w:t>
      </w:r>
    </w:p>
    <w:p w14:paraId="038F2FA8" w14:textId="77777777" w:rsidR="005872E2" w:rsidRDefault="005872E2">
      <w:pPr>
        <w:widowControl/>
        <w:spacing w:line="240" w:lineRule="auto"/>
        <w:jc w:val="left"/>
        <w:rPr>
          <w:rFonts w:ascii="Segoe UI" w:eastAsiaTheme="minorHAnsi" w:hAnsi="Segoe UI" w:cs="Segoe UI"/>
          <w:b/>
          <w:bCs/>
          <w:smallCaps/>
          <w:color w:val="0F4761" w:themeColor="accent1" w:themeShade="BF"/>
          <w:sz w:val="36"/>
          <w:szCs w:val="36"/>
        </w:rPr>
      </w:pPr>
      <w:r>
        <w:rPr>
          <w:rFonts w:ascii="Segoe UI" w:eastAsiaTheme="minorHAnsi" w:hAnsi="Segoe UI" w:cs="Segoe UI"/>
          <w:b/>
          <w:bCs/>
          <w:smallCaps/>
          <w:color w:val="0F4761" w:themeColor="accent1" w:themeShade="BF"/>
          <w:sz w:val="36"/>
          <w:szCs w:val="36"/>
        </w:rPr>
        <w:br w:type="page"/>
      </w:r>
    </w:p>
    <w:p w14:paraId="41228D55" w14:textId="77777777" w:rsidR="000671F3" w:rsidRPr="00BB39F1" w:rsidRDefault="000671F3" w:rsidP="000671F3">
      <w:pPr>
        <w:pStyle w:val="Nadpis1"/>
        <w:pBdr>
          <w:bottom w:val="single" w:sz="4" w:space="1" w:color="auto"/>
        </w:pBdr>
        <w:spacing w:before="600" w:after="120" w:line="264" w:lineRule="auto"/>
        <w:ind w:left="567" w:hanging="567"/>
        <w:rPr>
          <w:rFonts w:ascii="Segoe UI" w:hAnsi="Segoe UI" w:cs="Segoe UI"/>
          <w:b/>
          <w:bCs/>
          <w:caps/>
          <w:color w:val="808080" w:themeColor="background1" w:themeShade="80"/>
          <w:sz w:val="22"/>
          <w:szCs w:val="22"/>
          <w:lang w:eastAsia="en-US"/>
        </w:rPr>
      </w:pPr>
      <w:r w:rsidRPr="00BB39F1">
        <w:rPr>
          <w:rFonts w:ascii="Segoe UI" w:hAnsi="Segoe UI" w:cs="Segoe UI"/>
          <w:b/>
          <w:bCs/>
          <w:caps/>
          <w:color w:val="808080" w:themeColor="background1" w:themeShade="80"/>
          <w:sz w:val="22"/>
          <w:szCs w:val="22"/>
          <w:lang w:eastAsia="en-US"/>
        </w:rPr>
        <w:lastRenderedPageBreak/>
        <w:t>I.</w:t>
      </w:r>
      <w:r w:rsidRPr="000671F3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0671F3">
        <w:rPr>
          <w:rFonts w:ascii="Segoe UI" w:hAnsi="Segoe UI" w:cs="Segoe UI"/>
          <w:color w:val="auto"/>
          <w:sz w:val="20"/>
          <w:szCs w:val="20"/>
        </w:rPr>
        <w:tab/>
      </w:r>
      <w:r w:rsidRPr="00BB39F1">
        <w:rPr>
          <w:rFonts w:ascii="Segoe UI" w:hAnsi="Segoe UI" w:cs="Segoe UI"/>
          <w:b/>
          <w:bCs/>
          <w:caps/>
          <w:color w:val="808080" w:themeColor="background1" w:themeShade="80"/>
          <w:sz w:val="22"/>
          <w:szCs w:val="22"/>
          <w:lang w:eastAsia="en-US"/>
        </w:rPr>
        <w:t>OBECNÁ USTANOVENÍ</w:t>
      </w:r>
    </w:p>
    <w:p w14:paraId="6594BD35" w14:textId="007E994E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Podle této přílohy se v souladu se zákonem č. 218/2000 Sb., o rozpočtových pravidlech a o změně některých souvisejících zákonů, ve znění pozdějších předpisů, stanovuje výše finanční opravy za</w:t>
      </w:r>
      <w:r w:rsidR="00245E2C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>porušení rozpočtové kázně v případě pochybení, které spočívá v porušení povinností stanovených při zadávání zakázek</w:t>
      </w:r>
      <w:r w:rsidR="006E4837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>/</w:t>
      </w:r>
      <w:r w:rsidR="006E4837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 xml:space="preserve">veřejných zakázek (souhrnně dále jen </w:t>
      </w:r>
      <w:r w:rsidRPr="000671F3">
        <w:rPr>
          <w:rFonts w:ascii="Segoe UI" w:hAnsi="Segoe UI" w:cs="Segoe UI"/>
          <w:i/>
          <w:iCs/>
          <w:sz w:val="20"/>
          <w:szCs w:val="20"/>
        </w:rPr>
        <w:t>„veřejné zakázky“</w:t>
      </w:r>
      <w:r>
        <w:rPr>
          <w:rFonts w:ascii="Segoe UI" w:hAnsi="Segoe UI" w:cs="Segoe UI"/>
          <w:sz w:val="20"/>
          <w:szCs w:val="20"/>
        </w:rPr>
        <w:t>), zejména v nedodržení postupu podle zákona č. 134/2016 Sb., o zadávání veřejných zakázek, ve</w:t>
      </w:r>
      <w:r w:rsidR="00245E2C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 xml:space="preserve">znění účinném ke dni zahájení zadávacího řízení (dále jen </w:t>
      </w:r>
      <w:r w:rsidRPr="006E4837">
        <w:rPr>
          <w:rFonts w:ascii="Segoe UI" w:hAnsi="Segoe UI" w:cs="Segoe UI"/>
          <w:i/>
          <w:iCs/>
          <w:sz w:val="20"/>
          <w:szCs w:val="20"/>
        </w:rPr>
        <w:t>„</w:t>
      </w:r>
      <w:r w:rsidR="006E4837" w:rsidRPr="006E4837">
        <w:rPr>
          <w:rFonts w:ascii="Segoe UI" w:hAnsi="Segoe UI" w:cs="Segoe UI"/>
          <w:i/>
          <w:iCs/>
          <w:sz w:val="20"/>
          <w:szCs w:val="20"/>
        </w:rPr>
        <w:t>zákon</w:t>
      </w:r>
      <w:r w:rsidRPr="006E4837">
        <w:rPr>
          <w:rFonts w:ascii="Segoe UI" w:hAnsi="Segoe UI" w:cs="Segoe UI"/>
          <w:i/>
          <w:iCs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 a/nebo nedodržení postupu stanoveného v</w:t>
      </w:r>
      <w:r w:rsidR="006E4837">
        <w:rPr>
          <w:rFonts w:ascii="Segoe UI" w:hAnsi="Segoe UI" w:cs="Segoe UI"/>
          <w:sz w:val="20"/>
          <w:szCs w:val="20"/>
        </w:rPr>
        <w:t> Pokynech pro zadávání zakázek v OPŽP a OPST pro období</w:t>
      </w:r>
      <w:r>
        <w:rPr>
          <w:rFonts w:ascii="Segoe UI" w:hAnsi="Segoe UI" w:cs="Segoe UI"/>
          <w:sz w:val="20"/>
          <w:szCs w:val="20"/>
        </w:rPr>
        <w:t xml:space="preserve"> 2021-2027, ve znění účinném </w:t>
      </w:r>
      <w:r w:rsidR="006E4837">
        <w:rPr>
          <w:rFonts w:ascii="Segoe UI" w:hAnsi="Segoe UI" w:cs="Segoe UI"/>
          <w:sz w:val="20"/>
          <w:szCs w:val="20"/>
        </w:rPr>
        <w:t>ke dni</w:t>
      </w:r>
      <w:r>
        <w:rPr>
          <w:rFonts w:ascii="Segoe UI" w:hAnsi="Segoe UI" w:cs="Segoe UI"/>
          <w:sz w:val="20"/>
          <w:szCs w:val="20"/>
        </w:rPr>
        <w:t xml:space="preserve"> zahájení výběrového/zadávacího řízení (dále jen </w:t>
      </w:r>
      <w:r w:rsidRPr="006E4837">
        <w:rPr>
          <w:rFonts w:ascii="Segoe UI" w:hAnsi="Segoe UI" w:cs="Segoe UI"/>
          <w:i/>
          <w:iCs/>
          <w:sz w:val="20"/>
          <w:szCs w:val="20"/>
        </w:rPr>
        <w:t>„</w:t>
      </w:r>
      <w:r w:rsidR="006E4837" w:rsidRPr="006E4837">
        <w:rPr>
          <w:rFonts w:ascii="Segoe UI" w:hAnsi="Segoe UI" w:cs="Segoe UI"/>
          <w:i/>
          <w:iCs/>
          <w:sz w:val="20"/>
          <w:szCs w:val="20"/>
        </w:rPr>
        <w:t>Pokyny</w:t>
      </w:r>
      <w:r w:rsidRPr="006E4837">
        <w:rPr>
          <w:rFonts w:ascii="Segoe UI" w:hAnsi="Segoe UI" w:cs="Segoe UI"/>
          <w:i/>
          <w:iCs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).</w:t>
      </w:r>
    </w:p>
    <w:p w14:paraId="162B9776" w14:textId="77777777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případě, že identifikované porušení nemohlo mít ani potenciální finanční dopad, nestanoví se za něj žádná finanční oprava.</w:t>
      </w:r>
    </w:p>
    <w:p w14:paraId="215E515A" w14:textId="649EB0C0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Finanční oprava bude vždy stanovena paušální sazbou dle kapitoly II. – Typy porušení a sazby finančních oprav. </w:t>
      </w:r>
    </w:p>
    <w:p w14:paraId="3A63A81C" w14:textId="6F7ACAA2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Výše finanční opravy se vypočte z částky, která byla nebo má být z prostředků OP</w:t>
      </w:r>
      <w:r w:rsidR="00DF7F41">
        <w:rPr>
          <w:rFonts w:ascii="Segoe UI" w:hAnsi="Segoe UI" w:cs="Segoe UI"/>
          <w:sz w:val="20"/>
          <w:szCs w:val="20"/>
        </w:rPr>
        <w:t>ST</w:t>
      </w:r>
      <w:r>
        <w:rPr>
          <w:rFonts w:ascii="Segoe UI" w:hAnsi="Segoe UI" w:cs="Segoe UI"/>
          <w:sz w:val="20"/>
          <w:szCs w:val="20"/>
        </w:rPr>
        <w:t xml:space="preserve"> poskytnuta v souvislosti s veřejnou zakázkou, u které se porušení vyskytlo.</w:t>
      </w:r>
    </w:p>
    <w:p w14:paraId="2DAE8B9D" w14:textId="36EF9DFA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případě, že u veřejné zakázky bude identifikováno více porušení, výše finančních oprav stanovených za jednotlivá porušení se nesčítají, a výsledná finanční oprava je stanovena s ohledem na nejzávažnější porušení.</w:t>
      </w:r>
    </w:p>
    <w:p w14:paraId="68199C1F" w14:textId="77BA287A" w:rsidR="00C124FE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 w:rsidRPr="000671F3">
        <w:rPr>
          <w:rFonts w:ascii="Segoe UI" w:hAnsi="Segoe UI" w:cs="Segoe UI"/>
          <w:sz w:val="20"/>
          <w:szCs w:val="20"/>
        </w:rPr>
        <w:t>Závažnost porušení je posuzována zejména z hlediska jeho skutečného nebo možného vlivu na 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 případech, kdy v jeho důsledku došlo k odrazení potenciálních dodavatelů od účasti ve výběrovém/zadávacím řízení</w:t>
      </w:r>
      <w:r>
        <w:rPr>
          <w:rFonts w:ascii="Segoe UI" w:hAnsi="Segoe UI" w:cs="Segoe UI"/>
          <w:sz w:val="20"/>
          <w:szCs w:val="20"/>
        </w:rPr>
        <w:t>,</w:t>
      </w:r>
      <w:r w:rsidRPr="000671F3">
        <w:rPr>
          <w:rFonts w:ascii="Segoe UI" w:hAnsi="Segoe UI" w:cs="Segoe UI"/>
          <w:sz w:val="20"/>
          <w:szCs w:val="20"/>
        </w:rPr>
        <w:t xml:space="preserve"> nebo k zadání veřejné zakázky jinému dodavateli, než kterému měla být zadána.</w:t>
      </w:r>
    </w:p>
    <w:p w14:paraId="2824BDC3" w14:textId="3BAFD0D3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případě, že bude identifikováno porušení, které nelze podřadit pod konkrétní typ porušení uvedený v kapitole II. – Typy porušení a sazby finančních oprav, bude stanovena finanční oprava analogicky a dle zásady přiměřenosti.</w:t>
      </w:r>
    </w:p>
    <w:p w14:paraId="6AE8BB84" w14:textId="77777777" w:rsidR="000671F3" w:rsidRDefault="000671F3">
      <w:pPr>
        <w:widowControl/>
        <w:spacing w:line="240" w:lineRule="auto"/>
        <w:jc w:val="left"/>
        <w:rPr>
          <w:rFonts w:ascii="Segoe UI" w:eastAsiaTheme="majorEastAsia" w:hAnsi="Segoe UI" w:cs="Segoe UI"/>
          <w:color w:val="0F4761" w:themeColor="accent1" w:themeShade="BF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2FB4AE75" w14:textId="7C6D215E" w:rsidR="000671F3" w:rsidRPr="00BB39F1" w:rsidRDefault="000671F3" w:rsidP="00E920F3">
      <w:pPr>
        <w:pStyle w:val="Nadpis1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before="600" w:after="120" w:line="264" w:lineRule="auto"/>
        <w:ind w:left="567" w:hanging="567"/>
        <w:rPr>
          <w:rFonts w:ascii="Segoe UI" w:hAnsi="Segoe UI" w:cs="Segoe UI"/>
          <w:b/>
          <w:bCs/>
          <w:caps/>
          <w:color w:val="808080" w:themeColor="background1" w:themeShade="80"/>
          <w:sz w:val="22"/>
          <w:szCs w:val="22"/>
          <w:lang w:eastAsia="en-US"/>
        </w:rPr>
      </w:pPr>
      <w:r w:rsidRPr="00BB39F1">
        <w:rPr>
          <w:rFonts w:ascii="Segoe UI" w:hAnsi="Segoe UI" w:cs="Segoe UI"/>
          <w:b/>
          <w:bCs/>
          <w:caps/>
          <w:color w:val="808080" w:themeColor="background1" w:themeShade="80"/>
          <w:sz w:val="22"/>
          <w:szCs w:val="22"/>
          <w:lang w:eastAsia="en-US"/>
        </w:rPr>
        <w:lastRenderedPageBreak/>
        <w:t>II.</w:t>
      </w:r>
      <w:r w:rsidRPr="00BB39F1">
        <w:rPr>
          <w:rFonts w:ascii="Segoe UI" w:hAnsi="Segoe UI" w:cs="Segoe UI"/>
          <w:b/>
          <w:bCs/>
          <w:caps/>
          <w:color w:val="808080" w:themeColor="background1" w:themeShade="80"/>
          <w:sz w:val="22"/>
          <w:szCs w:val="22"/>
          <w:lang w:eastAsia="en-US"/>
        </w:rPr>
        <w:tab/>
        <w:t>TYPY PORUŠENÍ A SAZBY FINANČNÍCH OPRAV</w:t>
      </w:r>
      <w:r w:rsidR="00E920F3">
        <w:rPr>
          <w:rFonts w:ascii="Segoe UI" w:hAnsi="Segoe UI" w:cs="Segoe UI"/>
          <w:b/>
          <w:bCs/>
          <w:caps/>
          <w:color w:val="808080" w:themeColor="background1" w:themeShade="80"/>
          <w:sz w:val="22"/>
          <w:szCs w:val="22"/>
          <w:lang w:eastAsia="en-US"/>
        </w:rPr>
        <w:tab/>
      </w:r>
    </w:p>
    <w:p w14:paraId="419584C9" w14:textId="77777777" w:rsidR="000671F3" w:rsidRDefault="000671F3" w:rsidP="000671F3">
      <w:pPr>
        <w:widowControl/>
        <w:spacing w:before="120" w:line="264" w:lineRule="auto"/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46"/>
        <w:gridCol w:w="2804"/>
        <w:gridCol w:w="2806"/>
        <w:gridCol w:w="2806"/>
      </w:tblGrid>
      <w:tr w:rsidR="000671F3" w14:paraId="044867E5" w14:textId="77777777" w:rsidTr="006E4837">
        <w:trPr>
          <w:tblHeader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13FB6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9A02C81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Typ porušení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D8306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Popis porušení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0C5833D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Sazba finanční opravy</w:t>
            </w:r>
          </w:p>
        </w:tc>
      </w:tr>
      <w:tr w:rsidR="000671F3" w14:paraId="1702C2B3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8C6808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3D87B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Nedodržení požadovaného způsobu zahájení řízení a jeho uveřejnění </w:t>
            </w:r>
          </w:p>
          <w:p w14:paraId="2D8B8A8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</w:t>
            </w:r>
          </w:p>
          <w:p w14:paraId="5D4E7F9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přímé zadání (např. neoprávněné užití jednacího řízení bez uveřejnění)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7809054" w14:textId="0682191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zadal veřejnou zakázku, aniž by zahájil zadávací řízení v souladu se zákonem nebo výběrové řízení v souladu s 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A2DB84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5D1AB073" w14:textId="77777777" w:rsidTr="006E4837">
        <w:trPr>
          <w:trHeight w:val="1768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FF41721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283F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D181A2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0AFA35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byla dodržena určitá míra uveřejnění, která umožnila potenciálním dodavatelům přístup k zadávané veřejné zakázce</w:t>
            </w:r>
          </w:p>
        </w:tc>
      </w:tr>
      <w:tr w:rsidR="000671F3" w14:paraId="55256350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F0162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8F937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rozdělení předmětu veřejné zakázky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1A05C3" w14:textId="2EBB7C4C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uměle rozdělil předmět veřejné zakázky tak, že tím došlo ke snížení předpokládané hodnoty pod finanční limity stanovené v zákoně nebo v 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>, čímž nebylo zajištěno řádné uveřejnění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05C048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100 %, pokud veřejná zakázka nebyla uveřejněna, ačkoliv se na ni tato povinnost vztahovala</w:t>
            </w:r>
          </w:p>
        </w:tc>
      </w:tr>
      <w:tr w:rsidR="000671F3" w14:paraId="5D1C6A89" w14:textId="77777777" w:rsidTr="006E4837">
        <w:trPr>
          <w:trHeight w:val="11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5FD27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1A40B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30FD9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7CD5A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byla dodržena určitá míra uveřejnění, která umožnila potenciálním dodavatelům přístup k zadávané veřejné zakázce</w:t>
            </w:r>
          </w:p>
        </w:tc>
      </w:tr>
      <w:tr w:rsidR="000671F3" w14:paraId="411EEE84" w14:textId="77777777" w:rsidTr="006E4837">
        <w:trPr>
          <w:trHeight w:val="924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2FFD1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A0CFD6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Chybějící či nedostatečné zdůvodnění nerozdělení veřejné zakázky na části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61112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nerozdělil nadlimitní veřejnou zakázku na části dle zákona a toto rozhodnutí v písemné zprávě zadavatele neodůvodnil či toto odůvodnění nebylo dostatečné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9DD129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5 % </w:t>
            </w:r>
          </w:p>
        </w:tc>
      </w:tr>
      <w:tr w:rsidR="000671F3" w14:paraId="12FB3437" w14:textId="77777777" w:rsidTr="006E4837">
        <w:trPr>
          <w:trHeight w:val="252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B1189D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0A36F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Nedodržení minimální délky lhůty pro podání nabídek, předběžných nabídek nebo žádostí o účast</w:t>
            </w:r>
          </w:p>
          <w:p w14:paraId="3DECA7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3AD1BCC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neprodloužení této lhůty v případě takové změny zadávacích podmínek, jejichž povaha to vyžadovala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44A97D" w14:textId="0803175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lhůtu pro podání nabídek,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předběžných nabídek nebo žádostí o účast tak, že jejich délka nedosahovala minimálních lhůt stanovených v zákoně nebo 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426EFE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zadavatel v případě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takové změny zadávacích podmínek, jejichž povaha to vyžadovala, přiměřeně tuto lhůtu neprodloužil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CE8CC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100 %, pokud je zkrácení vyšší nebo rovno 85 % délky minimální lhůty, nebo byla lhůta rovna nebo kratší než 5 dnů.</w:t>
            </w:r>
          </w:p>
        </w:tc>
      </w:tr>
      <w:tr w:rsidR="000671F3" w14:paraId="11E93D45" w14:textId="77777777" w:rsidTr="006E4837">
        <w:trPr>
          <w:trHeight w:val="252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A0EE2D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822440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98912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905E32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je zkrácení vyšší nebo rovno 50 % délky minimální lhůty (ale nedosahuje 85 %)</w:t>
            </w:r>
          </w:p>
        </w:tc>
      </w:tr>
      <w:tr w:rsidR="000671F3" w14:paraId="34F65BB4" w14:textId="77777777" w:rsidTr="006E4837">
        <w:trPr>
          <w:trHeight w:val="102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E0469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004C5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7CB43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F1B68D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je zkrácení vyšší nebo rovno 30 % délky minimální lhůty (ale nedosahuje 50 %)</w:t>
            </w:r>
          </w:p>
          <w:p w14:paraId="099100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1ABBE2B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nebyla prodloužena lhůta pro podání nabídek, předběžných nabídek nebo žádostí o účast v případě takové změny zadávacích podmínek, jejichž povaha to vyžadovala</w:t>
            </w:r>
          </w:p>
        </w:tc>
      </w:tr>
      <w:tr w:rsidR="000671F3" w14:paraId="352D3007" w14:textId="77777777" w:rsidTr="00A74F2B">
        <w:trPr>
          <w:trHeight w:val="29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28E992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95766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ED457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8F72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5 %, pokud je zkrácení nižší než 30 %</w:t>
            </w:r>
          </w:p>
        </w:tc>
      </w:tr>
      <w:tr w:rsidR="000671F3" w14:paraId="22C0E245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98567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399F2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Nedostatečná doba pro opatření zadávací dokumentace</w:t>
            </w:r>
          </w:p>
          <w:p w14:paraId="799B23B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4FB5CBD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jiná omezení pro získání zadávací dokumentace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5AD9E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Jestliže zadávací dokumentace není volně, přímo a úplně dostupná, přičemž doba, ve které si ji mohou potenciální dodavatelé opatřit, je příliš krátká, či zadavatel jinak vytváří neodůvodněnou překážku pro řádnou hospodářskou soutěž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65DC4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po zkrácení činí délka lhůty pro doručení nabídek méně než nebo je rovna 50 % stanovené lhůty pro doručení nabídek</w:t>
            </w:r>
          </w:p>
        </w:tc>
      </w:tr>
      <w:tr w:rsidR="000671F3" w14:paraId="701B71BD" w14:textId="77777777" w:rsidTr="006E4837">
        <w:trPr>
          <w:trHeight w:val="117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B52D4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980B0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EC423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4D7F5B" w14:textId="1B0A18D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5 %, pokud po zkrácení činí délka lhůty pro doručení nabídek méně než nebo je rovna 80 % stanovené lhůty pro doručení nabídek</w:t>
            </w:r>
          </w:p>
        </w:tc>
      </w:tr>
      <w:tr w:rsidR="000671F3" w14:paraId="4E41D54C" w14:textId="77777777" w:rsidTr="006E4837">
        <w:trPr>
          <w:trHeight w:val="209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E75BE4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BD19F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99CDE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7DFBF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25 %, pokud je doba pro získání zadávací dokumentace rovna nebo nižší 5 dnům </w:t>
            </w:r>
          </w:p>
          <w:p w14:paraId="553786F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zadavatel vůbec neumožnil bezplatný, neomezený a přímý přístup k zadávací dokumentaci elektronickým způsobem</w:t>
            </w:r>
          </w:p>
        </w:tc>
      </w:tr>
      <w:tr w:rsidR="000671F3" w14:paraId="2EA35AB8" w14:textId="77777777" w:rsidTr="006E4837">
        <w:trPr>
          <w:trHeight w:val="114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EA0B274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EAF0E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Neuveřejnění prodloužení lhůty pro podání nabídek, předběžných nabídek nebo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žádostí o účast</w:t>
            </w:r>
          </w:p>
          <w:p w14:paraId="21294CF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487AD1F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neprodloužení této lhůty při nedodržení stanovené lhůty pro poskytnutí vysvětlení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AD68F1C" w14:textId="2FA48E9B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Zadavatel v průběhu výběrového/zadávacího řízení prodloužil lhůtu pro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podání nabídek, předběžných nabídek nebo žádostí o účast, aniž by tuto skutečnost uveřejnil způsobem stanoveným v zákoně nebo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v 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>, resp. způsobem, jakým bylo zahájeno výběrové/zadávací řízení, nebo ačkoliv žádost o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vysvětlení byla doručena včas, zadavatel toto vysvětlení neuveřejnil, neodeslal nebo nepředal ve stanovené lhůtě a současně neprodloužil lhůtu pro podání nabídek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3CE17E" w14:textId="2891F442" w:rsidR="006E4837" w:rsidRPr="006E4837" w:rsidRDefault="000671F3" w:rsidP="00814F9B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5 %, pokud došlo k uveřejnění jiným vhodným způsobem</w:t>
            </w:r>
          </w:p>
        </w:tc>
      </w:tr>
      <w:tr w:rsidR="000671F3" w14:paraId="7C02E1F2" w14:textId="77777777" w:rsidTr="006E4837">
        <w:trPr>
          <w:trHeight w:val="61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BDC044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29E1EC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0F3DC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C145A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nedošlo k uveřejnění, </w:t>
            </w:r>
          </w:p>
          <w:p w14:paraId="1799A2A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pokud nedošlo k prodloužení lhůty pro podání nabídek v důsledku nedodržení lhůty pro poskytnutí vysvětlení zadávací dokumentace</w:t>
            </w:r>
          </w:p>
        </w:tc>
      </w:tr>
      <w:tr w:rsidR="000671F3" w14:paraId="58A5EBA7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A300F8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68EDE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Použití jednacího řízení s uveřejněním nebo soutěžního dialogu v rozporu se zákonem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97B9F8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zadal veřejnou zakázku v jednacím řízení s uveřejněním nebo v soutěžním dialogu, aniž by byly splněny zákonné podmínky pro takový postup, nebo v průběhu jednacího řízení s uveřejněním nebo v soutěžním dialogu podstatně změnil zadávací podmínky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6A37AA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68CEFD2B" w14:textId="77777777" w:rsidTr="006E4837">
        <w:trPr>
          <w:trHeight w:val="114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4E575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7946C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9CED2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43A99F" w14:textId="7587D6A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byla zajištěna transparentnost zadávacího řízení vč. zdůvodnění užití tohoto druhu řízení v zadávací dokumentaci, nebyl omezen počet potenciálních dodavatelů, kteří mohli podat nabídku nebo žádost o účast, a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současně byl zajištěn rovný přístup ke všem účastníkům, kteří podali nabídku či žádost o účast </w:t>
            </w:r>
          </w:p>
        </w:tc>
      </w:tr>
      <w:tr w:rsidR="000671F3" w14:paraId="07FC4D1D" w14:textId="77777777" w:rsidTr="006E4837">
        <w:trPr>
          <w:trHeight w:val="5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D3549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618D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Nesoulad se stanovenými postupy pro elektronické nebo souhrnné zadávání veřejných zakázek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6D4E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Nedodržení stanovených postupů pro elektronické nebo souhrnné zadávání veřejných zakázek (tj. rámcové dohody, dynamické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nákupní systémy, elektronické aukce, elektronické katalogy, centralizované zadávání, společné zadávání a postupy centrálních zadavatelů)</w:t>
            </w:r>
          </w:p>
          <w:p w14:paraId="2A6DD8E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26865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10 %, pokud nedodržení mohlo mít za následek odrazení potenciálních dodavatelů od účasti ve výběrovém/zadávacím řízení</w:t>
            </w:r>
          </w:p>
        </w:tc>
      </w:tr>
      <w:tr w:rsidR="000671F3" w14:paraId="0C7542A2" w14:textId="77777777" w:rsidTr="006E4837">
        <w:trPr>
          <w:trHeight w:val="126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270A0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B8AD1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8D569F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4F8A3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následkem tohoto porušení bylo přidělení veřejné zakázky jinému účastníkovi, než který by zvítězil, pokud by se zadavatel pochybení nedopustil</w:t>
            </w:r>
          </w:p>
        </w:tc>
      </w:tr>
      <w:tr w:rsidR="000671F3" w14:paraId="180AFA76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8A099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9F677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Neuvedení nebo nedostatečné vymezení požadavků na kvalifikaci nebo hodnotících kritérií a jejich vah, podmínek plnění veřejné zakázky nebo technické specifikace</w:t>
            </w:r>
          </w:p>
          <w:p w14:paraId="7150DFC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</w:t>
            </w:r>
          </w:p>
          <w:p w14:paraId="46A59AD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neuveřejnění či neposkytnutí vysvětlení objasňující či doplňující kvalifikační nebo hodnotící kritéria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31801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neuvedl v oznámení o zahájení výběrového/zadávacího řízení požadavky na kvalifikaci, hodnotící kritéria (vč. jejich vah a jasného způsobu hodnocení nabídek), podmínky plnění veřejné zakázky nebo technické specifikace, případně tyto požadavky nevymezil dostatečně určitě</w:t>
            </w:r>
          </w:p>
          <w:p w14:paraId="380B103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objasnění či doplnění kvalifikačních či hodnotících kritérií nebylo sděleno všem účastníkům, popř. tyto informace nebyly uveřejněny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79505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nedošlo k uveřejnění kvalifikačních nebo hodnotících kritérií a jejich vah</w:t>
            </w:r>
          </w:p>
        </w:tc>
      </w:tr>
      <w:tr w:rsidR="000671F3" w14:paraId="5B89376A" w14:textId="77777777" w:rsidTr="006E4837">
        <w:trPr>
          <w:trHeight w:val="114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8373BD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FF58B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FAFB2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83156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podmínky plnění nebo technická specifikace nejsou v zadávací dokumentaci uvedeny, nebo</w:t>
            </w:r>
          </w:p>
          <w:p w14:paraId="65D9471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hodnotící kritéria a jejich váhy nejsou uvedeny dostatečně určitě, což mohlo mít odrazující účinek na potenciální dodavatele, nebo vysvětlení objasňující či doplňující kvalifikační nebo hodnotící kritéria nebyla sdělena všem známým dodavatelům a/nebo nebyla uveřejněna  </w:t>
            </w:r>
          </w:p>
        </w:tc>
      </w:tr>
      <w:tr w:rsidR="000671F3" w14:paraId="5A1547CE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1FB33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2B8A1D" w14:textId="2A5B029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Stanovení diskriminačních kritérií pro vyloučení, požadavků na kvalifikaci dodavatelů, kritérií hodnocení nabídek, podmínek pro plnění veřejné zakázky nebo technických specifikací v rozporu se zákonem nebo s 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a to ve vztahu k národním, regionálním nebo lokálním preferencím. 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5E76C4" w14:textId="11D89CE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diskriminační nebo jin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á </w:t>
            </w:r>
            <w:r>
              <w:rPr>
                <w:rFonts w:ascii="Segoe UI" w:hAnsi="Segoe UI" w:cs="Segoe UI"/>
                <w:sz w:val="20"/>
                <w:szCs w:val="20"/>
              </w:rPr>
              <w:t>protiprávní kritéria pro vyloučení, požadavky na kvalifikaci dodavatelů, kritérií hodnocení nabídek, podmínek pro plnění veřejné zakázky nebo technických specifikací nutných pro účast ve výběrovém/zadávacím řízení ve vztahu k místu realizace (např. v případě požadavku na zkušenosti, zařízení, provozovnu atd. z určitého regionu či státu)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FF1D5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mohlo dojít k odrazení potenciálních dodavatelů od účasti ve výběrovém/zadávacím řízení</w:t>
            </w:r>
          </w:p>
        </w:tc>
      </w:tr>
      <w:tr w:rsidR="000671F3" w14:paraId="5AFB454B" w14:textId="77777777" w:rsidTr="006E4837">
        <w:trPr>
          <w:trHeight w:val="139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D70825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04497D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28236A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78525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byla zajištěna minimální míra hospodářské soutěže</w:t>
            </w:r>
          </w:p>
        </w:tc>
      </w:tr>
      <w:tr w:rsidR="000671F3" w14:paraId="1441415B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9E33D9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37F15B" w14:textId="7B055AB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Stanovení diskriminačních kritérií pro vyloučení, požadavků na kvalifikaci dodavatelů, kritérií hodnocení nabídek, podmínek pro plnění veřejné zakázky nebo technických specifikací v rozporu se zákonem nebo s 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v ostatních aspektech než je uvedeno v předchozím bodu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33350F" w14:textId="007F367F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diskriminační nebo jin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á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protiprávní kritéria pro vyloučení, požadavky na kvalifikaci dodavatelů, kritérií hodnocení nabídek, podmínek pro plnění veřejné zakázky nebo technických specifikací nutných pro účast ve výběrovém/zadávacím řízení (např. požadavky bezprostředně nesouvisely s předmětem veřejné zakázky, nebo hodnotící kritéria nevyjadřovaly vztah užitné hodnoty a ceny)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48743C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stanovené podmínky zjevně neodpovídají předmětu veřejné zakázky nebo v případech, kdy toto omezení umožnilo účast pouze jednoho dodavatele a současně účast tohoto jednoho dodavatele není odůvodnitelná specifickým technickým charakterem předmětu veřejné zakázky</w:t>
            </w:r>
          </w:p>
        </w:tc>
      </w:tr>
      <w:tr w:rsidR="000671F3" w14:paraId="7A8AAB01" w14:textId="77777777" w:rsidTr="006E4837">
        <w:trPr>
          <w:trHeight w:val="148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74FBC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EBD23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EC686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6E7B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tyto požadavky souvisí s předmětem veřejné zakázky, ale nejsou mu přiměřené, nebo v případech, kdy kvalifikační kritéria byla užita jako hodnotící kritéria, nebo v případech stanovení technických podmínek prostřednictvím přímého nebo nepřímého odkazu na určité dodavatele, výrobky, patenty na vynálezy, užitné vzory, průmyslové vzory, ochranné známky nebo označení původu s výjimkou případů, kdy použití této specifikace se týká pouze doplňkové části veřejné zakázky a potenciální dopad na EK rozpočet je pouze formální </w:t>
            </w:r>
          </w:p>
        </w:tc>
      </w:tr>
      <w:tr w:rsidR="000671F3" w14:paraId="6B488338" w14:textId="77777777" w:rsidTr="006E4837">
        <w:trPr>
          <w:trHeight w:val="173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CF3070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8201E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8F736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4BF02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5 %, pokud i přes užití omezujících podmínek byla zajištěna minimální míra hospodářské soutěže </w:t>
            </w:r>
          </w:p>
        </w:tc>
      </w:tr>
      <w:tr w:rsidR="000671F3" w14:paraId="17265C7D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DEFBF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763AD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Nedostatečné či nepřesné vymezení předmětu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2BBC50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Zadavatel nevymezil předmět veřejné zakázky v podrobnostech nezbytných pro zpracování nabídky, což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mohlo odradit potenciální dodavatele od podání nabídky, předběžné nabídky či žádosti o účast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1D07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10 %</w:t>
            </w:r>
          </w:p>
        </w:tc>
      </w:tr>
      <w:tr w:rsidR="000671F3" w14:paraId="57483B97" w14:textId="77777777" w:rsidTr="006E4837">
        <w:trPr>
          <w:trHeight w:val="279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B6EE4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5E086A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omezení poddodávek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9A21C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omezil možnost využití poddodavatelů při realizaci veřejné zakázky např. procentuálně, a to bez relevantního odůvodnění tohoto omezení s ohledem na klíčové části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0EFE8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</w:t>
            </w:r>
          </w:p>
        </w:tc>
      </w:tr>
      <w:tr w:rsidR="000671F3" w14:paraId="5EBEDCCC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22FDE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E74406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Nedodržení či nesprávná aplikace kvalifikačních kritérií nebo technických či jiných zadávacích podmínek při posouzení a hodnocení nabídek či žádostí o účast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D8221C" w14:textId="732B9CF9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při posouzení a hodnocení nabídek nedodržel stanovené zadávací podmínky, zejména technické podmínky, požadavky na kvalifikaci, obchodní podmínky nebo jiné podmínky účasti ve výběrovém/zadávacím řízení nebo podmínky průběhu výběrového/zadávacího řízení a ve svém důsledku tak změnil zadávací podmínky v průběhu posouzení nabídek, což mělo za následek přijetí či odmítnutí nabídek či žádostí o účast, které přij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aty</w:t>
            </w:r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odmítnuty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být neměly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A172D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0DCD5AB0" w14:textId="77777777" w:rsidTr="00814F9B">
        <w:trPr>
          <w:trHeight w:val="253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B29574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05F81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Hodnocení nabídek v rozporu se zadávacími podmínkami </w:t>
            </w:r>
          </w:p>
          <w:p w14:paraId="6C0C48A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hodnocení nabídek dle dodatečně stanovených kritérií, která nebyla uveřejněna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E4BF98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Kritéria, která zadavatel stanovil pro hodnocení nabídek, nebyla dodržena či bylo užito dalších hodnotících kritérií, které nebyly uveřejněny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3B04ED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</w:t>
            </w:r>
          </w:p>
        </w:tc>
      </w:tr>
      <w:tr w:rsidR="000671F3" w14:paraId="06A2A59C" w14:textId="77777777" w:rsidTr="00A74F2B">
        <w:trPr>
          <w:trHeight w:val="82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A1CB77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B79D3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17DF7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E3A0F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došlo k diskriminaci účastníků na základě národních, regionálních či lokálních preferencí</w:t>
            </w:r>
          </w:p>
        </w:tc>
      </w:tr>
      <w:tr w:rsidR="000671F3" w14:paraId="1ABD1903" w14:textId="77777777" w:rsidTr="00814F9B">
        <w:trPr>
          <w:trHeight w:val="1363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B7F38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06D2D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Nedostatečná auditní stopa související se zadáním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D4716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Doložené podklady jasně nevysvětlují, jakým způsobem byly hodnoceny nabídky a jak byla vybrána nejvýhodnější nabídka, což má za následek nedostatečnou transparentnost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50F65B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7364B482" w14:textId="77777777" w:rsidTr="006E4837">
        <w:trPr>
          <w:trHeight w:val="86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75362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AC04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3B969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Odmítnutí zpřístupnění či poskytnutí relevantní dokumentace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50D1ED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01EACB1C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6DC4F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32A9E7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Jednání s účastníky během řízení včetně změny vítězné nabídky v průběhu hodnocení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0CECA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Zadavatel umožnil účastníkovi úpravu nabídky v průběhu hodnocení nabídek, čímž došlo k výběru tohoto účastníka, </w:t>
            </w:r>
          </w:p>
          <w:p w14:paraId="2BDFA4D4" w14:textId="69ED925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zadavatel v rozporu se zákonem nebo 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jednal v průběhu hodnocení nabídek s účastníky řízení, což vedlo k podstatné změně zadávacích podmínek, příp. samotné nabídky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DC3218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6BB38889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77E9D1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CF30B" w14:textId="5BDF5C1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předchozí zapojení dodavatelů do přípravy výběrového/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zadávacího řízení či obdobná forma spolupráce se zadavatelem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E4B141" w14:textId="5A12F0EF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případech, kdy takovéto zapojení dodavatele do přípravy výběrového/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zadávacího řízení má za následek porušení zásady nediskriminace, transparentnosti a rovného zacházení či vede k narušení hospodářské soutěže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70F6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 </w:t>
            </w:r>
          </w:p>
        </w:tc>
      </w:tr>
      <w:tr w:rsidR="000671F3" w14:paraId="528BDE10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89D31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75471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Změna počátečních zadávacích podmínek v rámci jednacího řízení s uveřejněním vedoucí k podstatné změně zadávacích podmínek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344C3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průběhu jednacího řízení s uveřejněním došlo k podstatným změnám původních zadávacích podmínek, které by měly za následek povinnost nového uveřejnění řízení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5CA95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 </w:t>
            </w:r>
          </w:p>
          <w:p w14:paraId="23D8E31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1F3" w14:paraId="1D455FCD" w14:textId="77777777" w:rsidTr="006E4837">
        <w:trPr>
          <w:trHeight w:val="772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D2F250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9A6D3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vyloučení nabídky z důvodu mimořádně nízké nabídkové ceny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0C0F8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Zadavatel vyloučil nabídku z důvodu mimořádně nízké nabídkové ceny, aniž by požádal účastníka výběrového/zadávacího řízení o odpovídající zdůvodnění </w:t>
            </w:r>
          </w:p>
          <w:p w14:paraId="4C702381" w14:textId="4917174E" w:rsidR="00814F9B" w:rsidRDefault="00814F9B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="000671F3">
              <w:rPr>
                <w:rFonts w:ascii="Segoe UI" w:hAnsi="Segoe UI" w:cs="Segoe UI"/>
                <w:sz w:val="20"/>
                <w:szCs w:val="20"/>
              </w:rPr>
              <w:t>ebo</w:t>
            </w:r>
          </w:p>
          <w:p w14:paraId="29BC2222" w14:textId="7CE731D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 případě, kdy zadavatel dodavatele ke zdůvodnění mimořádně nízké nabídkové ceny vyzval, nicméně není schopen prokázat, že odpovědi účastníků posoudil odpovídajícím způsobem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762A6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227C6068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78FFA9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1F4B51D" w14:textId="252AC2EA" w:rsidR="000671F3" w:rsidRDefault="000671F3" w:rsidP="004C4F20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Střet zájmů s dopadem na výsledek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výběrového</w:t>
            </w:r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zadávacího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řízení</w:t>
            </w:r>
          </w:p>
          <w:p w14:paraId="23D4CE4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FA9B91" w14:textId="195ABF5E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případě, kdy při zadání veřejné zakázky dojde ke střetu zájmů, přičemž dotčený účastník zvítězí v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>
              <w:rPr>
                <w:rFonts w:ascii="Segoe UI" w:hAnsi="Segoe UI" w:cs="Segoe UI"/>
                <w:sz w:val="20"/>
                <w:szCs w:val="20"/>
              </w:rPr>
              <w:t>výběrovém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/zadávacím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řízení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2EDA5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5EF2ED4A" w14:textId="77777777" w:rsidTr="006E4837">
        <w:trPr>
          <w:trHeight w:val="651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8B2CD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E44947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(zakázaná spolupráce dodavatelů ve výběrovém/zadávacím řízení)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FF867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případě, že soud, Úřad pro ochranu hospodářské soutěže či jiný kompetentní úřad shledá, že při zadávání výběrového/zadávacího řízení došlo ke kartelové dohodě či jiné formě zakázané spolupráce mezi dodavateli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D5A3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účastníci, kteří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podíleli, postupovali bez pomoci osoby v rámci řídícího či kontrolního systému nebo zadavatele a jeden z nich se stal vybraným dodavatelem</w:t>
            </w:r>
          </w:p>
        </w:tc>
      </w:tr>
      <w:tr w:rsidR="000671F3" w14:paraId="6D1D00B8" w14:textId="77777777" w:rsidTr="006E4837">
        <w:trPr>
          <w:trHeight w:val="6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62A9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1DB71B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065A2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BC7D3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25 %, pokud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nepodíleli jiní dodavatelé než ti, kteří se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účastnili</w:t>
            </w:r>
          </w:p>
        </w:tc>
      </w:tr>
      <w:tr w:rsidR="000671F3" w14:paraId="7541E0EA" w14:textId="77777777" w:rsidTr="006E4837">
        <w:trPr>
          <w:trHeight w:val="6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B18D3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282CF32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379B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07074E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100 %, pokud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podílela osoba v rámci řídícího či kontrolního systému nebo zadavatel ve spolupráci s dodavateli podílejícími se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a současně jeden z nich se stal vybraným dodavatelem</w:t>
            </w:r>
          </w:p>
        </w:tc>
      </w:tr>
      <w:tr w:rsidR="000671F3" w14:paraId="4E5C7A8E" w14:textId="77777777" w:rsidTr="006E4837">
        <w:trPr>
          <w:trHeight w:val="1346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5E5BC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lastRenderedPageBreak/>
              <w:t>23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F3E6E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Podstatná změna smlouvy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ED8D93" w14:textId="04FA5F6A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umožnil podstatnou změnu závazku ze smlouvy na plnění veřejné zakázky nebo práv a povinností vyplývajících ze smlouvy na plnění veřejné zakázky v rozporu se zákonem nebo s 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Pokyny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88B371" w14:textId="1F1AB635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 z ceny původní veřejné zakázky</w:t>
            </w:r>
          </w:p>
          <w:p w14:paraId="2BC4B428" w14:textId="5ECCDD7A" w:rsidR="000671F3" w:rsidRDefault="000671F3" w:rsidP="00814F9B">
            <w:pPr>
              <w:spacing w:before="120" w:after="120"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dále</w:t>
            </w:r>
          </w:p>
          <w:p w14:paraId="1E8423C2" w14:textId="2F95C105" w:rsidR="000671F3" w:rsidRPr="00814F9B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 z hodnoty dodatečných stavebních prací, dodávek nebo služeb (tzv. vícepráce)</w:t>
            </w:r>
          </w:p>
        </w:tc>
      </w:tr>
      <w:tr w:rsidR="000671F3" w14:paraId="501908D3" w14:textId="77777777" w:rsidTr="00A74F2B">
        <w:trPr>
          <w:trHeight w:val="334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CD6727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9F18FF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32C45E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CE75E4" w14:textId="7459836F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 z ceny původní veřejné zakázky </w:t>
            </w:r>
          </w:p>
          <w:p w14:paraId="7E25DB9F" w14:textId="29142BAB" w:rsidR="000671F3" w:rsidRDefault="000671F3" w:rsidP="00814F9B">
            <w:pPr>
              <w:spacing w:before="120" w:after="120"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dále</w:t>
            </w:r>
          </w:p>
          <w:p w14:paraId="0D67544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 částky, o kterou byla případně zvýšena cena veřejné zakázky v případě, že takové zvýšení převyšuje 50 % hodnoty původní veřejné zakázky</w:t>
            </w: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671F3" w14:paraId="3473D0C3" w14:textId="77777777" w:rsidTr="00814F9B">
        <w:trPr>
          <w:trHeight w:val="338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74691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F1249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Jiné porušení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D14E74F" w14:textId="45AFA29E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Zadavatel se dopustil jiného než výše uvedeného porušení, které mělo nebo mohlo mít vliv na výběr dodavatele, nebo které znemožnilo ověření souladu jeho postupu </w:t>
            </w:r>
            <w:r w:rsidR="002A2B3A">
              <w:rPr>
                <w:rFonts w:ascii="Segoe UI" w:hAnsi="Segoe UI" w:cs="Segoe UI"/>
                <w:sz w:val="20"/>
                <w:szCs w:val="20"/>
              </w:rPr>
              <w:t>se zákonem nebo s Pokyny,</w:t>
            </w:r>
            <w:r w:rsidR="004C4F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včetně nedodržení základních zásad zadávacího řízení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5FA755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25 %</w:t>
            </w:r>
          </w:p>
        </w:tc>
      </w:tr>
      <w:tr w:rsidR="000671F3" w14:paraId="330789F3" w14:textId="77777777" w:rsidTr="006E4837">
        <w:trPr>
          <w:trHeight w:val="146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1C99F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4C4DE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54C22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AA01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2 % nebo 5 % nebo 10 % dle závažnosti porušení</w:t>
            </w:r>
          </w:p>
        </w:tc>
      </w:tr>
    </w:tbl>
    <w:p w14:paraId="6C649A03" w14:textId="77777777" w:rsidR="000671F3" w:rsidRPr="000671F3" w:rsidRDefault="000671F3" w:rsidP="000671F3">
      <w:pPr>
        <w:spacing w:before="120" w:line="264" w:lineRule="auto"/>
        <w:rPr>
          <w:rFonts w:ascii="Segoe UI" w:hAnsi="Segoe UI" w:cs="Segoe UI"/>
          <w:sz w:val="20"/>
          <w:szCs w:val="20"/>
        </w:rPr>
      </w:pPr>
    </w:p>
    <w:p w14:paraId="6100C6BC" w14:textId="77777777" w:rsidR="000671F3" w:rsidRDefault="000671F3" w:rsidP="000671F3"/>
    <w:sectPr w:rsidR="00067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56061" w14:textId="77777777" w:rsidR="00336733" w:rsidRDefault="00336733" w:rsidP="000671F3">
      <w:pPr>
        <w:spacing w:line="240" w:lineRule="auto"/>
      </w:pPr>
      <w:r>
        <w:separator/>
      </w:r>
    </w:p>
  </w:endnote>
  <w:endnote w:type="continuationSeparator" w:id="0">
    <w:p w14:paraId="7C5F1986" w14:textId="77777777" w:rsidR="00336733" w:rsidRDefault="00336733" w:rsidP="0006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C0B3" w14:textId="77777777" w:rsidR="00155BAF" w:rsidRDefault="00155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24F3" w14:textId="17DE5173" w:rsidR="005D2D4C" w:rsidRPr="00155BAF" w:rsidRDefault="00620C9B" w:rsidP="00620C9B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  <w:noProof/>
        <w:sz w:val="16"/>
        <w:szCs w:val="16"/>
      </w:rPr>
    </w:pPr>
    <w:r w:rsidRPr="00155BAF">
      <w:rPr>
        <w:rFonts w:ascii="Segoe UI" w:hAnsi="Segoe UI" w:cs="Segoe UI"/>
        <w:noProof/>
        <w:sz w:val="16"/>
        <w:szCs w:val="16"/>
        <w:highlight w:val="lightGray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D1AA550" wp14:editId="15A843BE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CDA17" w14:textId="77777777" w:rsidR="00620C9B" w:rsidRPr="00620C9B" w:rsidRDefault="00620C9B" w:rsidP="00620C9B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620C9B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AA55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2C3CDA17" w14:textId="77777777" w:rsidR="00620C9B" w:rsidRPr="00620C9B" w:rsidRDefault="00620C9B" w:rsidP="00620C9B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620C9B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620C9B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620C9B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620C9B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620C9B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620C9B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620C9B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620C9B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620C9B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620C9B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620C9B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155BAF">
      <w:rPr>
        <w:rFonts w:ascii="Segoe UI" w:hAnsi="Segoe UI" w:cs="Segoe UI"/>
        <w:noProof/>
        <w:sz w:val="16"/>
        <w:szCs w:val="16"/>
        <w:highlight w:val="lightGray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2B0265B" wp14:editId="1ABC6832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75D4D" w14:textId="77777777" w:rsidR="00620C9B" w:rsidRPr="007B1E55" w:rsidRDefault="00620C9B" w:rsidP="00620C9B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0265B" id="Textové pole 2" o:spid="_x0000_s1027" type="#_x0000_t202" style="position:absolute;left:0;text-align:left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zo2AEAAJcDAAAOAAAAZHJzL2Uyb0RvYy54bWysU9tu2zAMfR+wfxD0vjgJ1jUx4hRdiwwD&#10;ugvQ9QNkWbaF2aJGKrGzrx+lxOm2vg17EShKOjznkNrcjH0nDgbJgivkYjaXwjgNlXVNIZ++7d6s&#10;pKCgXKU6cKaQR0PyZvv61WbwuVlCC11lUDCIo3zwhWxD8HmWkW5Nr2gG3jg+rAF7FXiLTVahGhi9&#10;77LlfP4uGwArj6ANEWfvT4dym/Dr2ujwpa7JBNEVkrmFtGJay7hm243KG1S+tfpMQ/0Di15Zx0Uv&#10;UPcqKLFH+wKqtxqBoA4zDX0GdW21SRpYzWL+l5rHVnmTtLA55C820f+D1Z8Pj/4rijC+h5EbmESQ&#10;fwD9nYSDu1a5xtwiwtAaVXHhRbQsGzzl56fRasopgpTDJ6i4yWofIAGNNfbRFdYpGJ0bcLyYbsYg&#10;NCdX6/X1+koKzUeLt8vV9VWqoPLpsUcKHwz0IgaFRO5pAleHBwqRjMqnK7GWg53tutTXzv2R4Isx&#10;k8hHvifmYSxHYauzsqilhOrIahBO08LTzUEL+FOKgSelkPRjr9BI0X107EgcqynAKSinQDnNTwsZ&#10;pDiFd+E0fnuPtmkZefL8ll3b2aTomcWZLnc/CT1Pahyv3/fp1vN/2v4CAAD//wMAUEsDBBQABgAI&#10;AAAAIQCmVEaR4AAAAA4BAAAPAAAAZHJzL2Rvd25yZXYueG1sTI+xTsMwEIZ3JN7BOiQWRO0ENWpC&#10;nKqqYGGjZWFz4yOJsM9R7CahT48ztePd/+m/78rtbA0bcfCdIwnJSgBDqp3uqJHwdXx/3gDzQZFW&#10;xhFK+EMP2+r+rlSFdhN94ngIDYsl5AsloQ2hLzj3dYtW+ZXrkWL24warQhyHhutBTbHcGp4KkXGr&#10;OooXWtXjvsX693C2ErL5rX/6yDGdLrUZ6fuSJAETKR8f5t0rsIBzuMKw6Ed1qKLTyZ1Je2Yk5GKT&#10;RzQGmcjXwBZErEUG7LTsXlIBvCr57RvVPwAAAP//AwBQSwECLQAUAAYACAAAACEAtoM4kv4AAADh&#10;AQAAEwAAAAAAAAAAAAAAAAAAAAAAW0NvbnRlbnRfVHlwZXNdLnhtbFBLAQItABQABgAIAAAAIQA4&#10;/SH/1gAAAJQBAAALAAAAAAAAAAAAAAAAAC8BAABfcmVscy8ucmVsc1BLAQItABQABgAIAAAAIQDL&#10;fhzo2AEAAJcDAAAOAAAAAAAAAAAAAAAAAC4CAABkcnMvZTJvRG9jLnhtbFBLAQItABQABgAIAAAA&#10;IQCmVEaR4AAAAA4BAAAPAAAAAAAAAAAAAAAAADIEAABkcnMvZG93bnJldi54bWxQSwUGAAAAAAQA&#10;BADzAAAAPwUAAAAA&#10;" filled="f" stroked="f">
              <v:textbox style="mso-fit-shape-to-text:t" inset="0,0,0,0">
                <w:txbxContent>
                  <w:p w14:paraId="35875D4D" w14:textId="77777777" w:rsidR="00620C9B" w:rsidRPr="007B1E55" w:rsidRDefault="00620C9B" w:rsidP="00620C9B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155BAF">
      <w:rPr>
        <w:rFonts w:ascii="Segoe UI" w:hAnsi="Segoe UI" w:cs="Segoe UI"/>
        <w:noProof/>
        <w:sz w:val="16"/>
        <w:szCs w:val="16"/>
        <w:highlight w:val="lightGray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8F618A9" wp14:editId="241CE4B6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FF621" w14:textId="77777777" w:rsidR="00620C9B" w:rsidRPr="007B1E55" w:rsidRDefault="00620C9B" w:rsidP="00620C9B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618A9" id="Text Box 15" o:spid="_x0000_s1028" type="#_x0000_t202" style="position:absolute;left:0;text-align:left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W2gEAAJcDAAAOAAAAZHJzL2Uyb0RvYy54bWysU9tu2zAMfR+wfxD0vjgJ1jUx4hRdiwwD&#10;ugvQ9QNkWY6F2aJGKrGzrx8lx+m2vg17EShKOjznkNrcDF0rjgbJgivkYjaXwjgNlXX7Qj59271Z&#10;SU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Wq+v11dSaD5avF2urq9SBZVPjz1S+GCgEzEoJHJPE7g6PlCIZFQ+XYm1HOxs26a+tu6PBF+M&#10;mUQ+8h2Zh6EchK0KuYx1o5YSqhOrQRinhaebgwbwpxQ9T0oh6cdBoZGi/ejYkThWU4BTUE6Bcpqf&#10;FjJIMYZ3YRy/g0e7bxh58vyWXdvZpOiZxZkudz8JPU9qHK/f9+nW83/a/gIAAP//AwBQSwMEFAAG&#10;AAgAAAAhAKZURpHgAAAADgEAAA8AAABkcnMvZG93bnJldi54bWxMj7FOwzAQhnck3sE6JBZE7QQ1&#10;akKcqqpgYaNlYXPjI4mwz1HsJqFPjzO1493/6b/vyu1sDRtx8J0jCclKAEOqne6okfB1fH/eAPNB&#10;kVbGEUr4Qw/b6v6uVIV2E33ieAgNiyXkCyWhDaEvOPd1i1b5leuRYvbjBqtCHIeG60FNsdwangqR&#10;cas6ihda1eO+xfr3cLYSsvmtf/rIMZ0utRnp+5IkARMpHx/m3SuwgHO4wrDoR3WootPJnUl7ZiTk&#10;YpNHNAaZyNfAFkSsRQbstOxeUgG8KvntG9U/AAAA//8DAFBLAQItABQABgAIAAAAIQC2gziS/gAA&#10;AOEBAAATAAAAAAAAAAAAAAAAAAAAAABbQ29udGVudF9UeXBlc10ueG1sUEsBAi0AFAAGAAgAAAAh&#10;ADj9If/WAAAAlAEAAAsAAAAAAAAAAAAAAAAALwEAAF9yZWxzLy5yZWxzUEsBAi0AFAAGAAgAAAAh&#10;AB5p4xbaAQAAlwMAAA4AAAAAAAAAAAAAAAAALgIAAGRycy9lMm9Eb2MueG1sUEsBAi0AFAAGAAgA&#10;AAAhAKZURpHgAAAADgEAAA8AAAAAAAAAAAAAAAAANAQAAGRycy9kb3ducmV2LnhtbFBLBQYAAAAA&#10;BAAEAPMAAABBBQAAAAA=&#10;" filled="f" stroked="f">
              <v:textbox style="mso-fit-shape-to-text:t" inset="0,0,0,0">
                <w:txbxContent>
                  <w:p w14:paraId="6BEFF621" w14:textId="77777777" w:rsidR="00620C9B" w:rsidRPr="007B1E55" w:rsidRDefault="00620C9B" w:rsidP="00620C9B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155BAF">
      <w:rPr>
        <w:rFonts w:ascii="Segoe UI" w:hAnsi="Segoe UI" w:cs="Segoe UI"/>
        <w:noProof/>
        <w:sz w:val="16"/>
        <w:szCs w:val="16"/>
      </w:rPr>
      <w:t>Přehled finančních oprav při porušení povinností při zadávání veřejných zakázek</w:t>
    </w:r>
    <w:r w:rsidR="005D2D4C" w:rsidRPr="00155BAF">
      <w:rPr>
        <w:rFonts w:ascii="Segoe UI" w:hAnsi="Segoe UI" w:cs="Segoe UI"/>
        <w:noProof/>
        <w:sz w:val="16"/>
        <w:szCs w:val="16"/>
      </w:rPr>
      <w:t xml:space="preserve"> v Operačním programu Spravedlivá transformace pro období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14E6" w14:textId="77777777" w:rsidR="00155BAF" w:rsidRDefault="00155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CDCE7" w14:textId="77777777" w:rsidR="00336733" w:rsidRDefault="00336733" w:rsidP="000671F3">
      <w:pPr>
        <w:spacing w:line="240" w:lineRule="auto"/>
      </w:pPr>
      <w:r>
        <w:separator/>
      </w:r>
    </w:p>
  </w:footnote>
  <w:footnote w:type="continuationSeparator" w:id="0">
    <w:p w14:paraId="3F4D6E4A" w14:textId="77777777" w:rsidR="00336733" w:rsidRDefault="00336733" w:rsidP="000671F3">
      <w:pPr>
        <w:spacing w:line="240" w:lineRule="auto"/>
      </w:pPr>
      <w:r>
        <w:continuationSeparator/>
      </w:r>
    </w:p>
  </w:footnote>
  <w:footnote w:id="1">
    <w:p w14:paraId="23CB3953" w14:textId="28D6297D" w:rsidR="000671F3" w:rsidRDefault="000671F3" w:rsidP="000671F3">
      <w:pPr>
        <w:pStyle w:val="Textpoznpodarou"/>
      </w:pPr>
      <w:r>
        <w:rPr>
          <w:rStyle w:val="Znakapoznpodarou"/>
          <w:rFonts w:ascii="Segoe UI" w:hAnsi="Segoe UI" w:cs="Segoe UI"/>
          <w:sz w:val="20"/>
          <w:szCs w:val="20"/>
        </w:rPr>
        <w:footnoteRef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16"/>
          <w:szCs w:val="16"/>
        </w:rPr>
        <w:t>Kromě případů, kdy nesrovnalost spadá pod jiný typ porušení.</w:t>
      </w:r>
    </w:p>
  </w:footnote>
  <w:footnote w:id="2">
    <w:p w14:paraId="4662DC99" w14:textId="77777777" w:rsidR="000671F3" w:rsidRDefault="000671F3" w:rsidP="000671F3">
      <w:pPr>
        <w:pStyle w:val="Textpoznpodarou"/>
      </w:pPr>
      <w:r>
        <w:rPr>
          <w:rStyle w:val="Znakapoznpodarou"/>
          <w:rFonts w:ascii="Segoe UI" w:hAnsi="Segoe UI" w:cs="Segoe UI"/>
          <w:sz w:val="20"/>
          <w:szCs w:val="20"/>
        </w:rPr>
        <w:footnoteRef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16"/>
          <w:szCs w:val="16"/>
        </w:rPr>
        <w:t>Střet zájmů může nastat již ve fázi přípravy projektu, pokud měla příprava projektu vliv na zadávací dokumentaci/zadávací řízení.</w:t>
      </w:r>
    </w:p>
    <w:p w14:paraId="59B5C34E" w14:textId="77777777" w:rsidR="000671F3" w:rsidRDefault="000671F3" w:rsidP="000671F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AAAA" w14:textId="77777777" w:rsidR="00155BAF" w:rsidRDefault="00155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F197" w14:textId="447590F5" w:rsidR="00BB39F1" w:rsidRDefault="00BB39F1">
    <w:pPr>
      <w:pStyle w:val="Zhlav"/>
    </w:pPr>
    <w:r w:rsidRPr="00F37117">
      <w:rPr>
        <w:noProof/>
      </w:rPr>
      <w:drawing>
        <wp:inline distT="0" distB="0" distL="0" distR="0" wp14:anchorId="6D46DB25" wp14:editId="37F06EF6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A430C" w14:textId="77777777" w:rsidR="00285978" w:rsidRDefault="00285978">
    <w:pPr>
      <w:pStyle w:val="Zhlav"/>
    </w:pPr>
  </w:p>
  <w:p w14:paraId="3EEBE916" w14:textId="77777777" w:rsidR="00285978" w:rsidRDefault="002859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A10F" w14:textId="77777777" w:rsidR="00155BAF" w:rsidRDefault="00155B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608D"/>
    <w:multiLevelType w:val="hybridMultilevel"/>
    <w:tmpl w:val="5F221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AE37C5"/>
    <w:multiLevelType w:val="hybridMultilevel"/>
    <w:tmpl w:val="5BD42694"/>
    <w:lvl w:ilvl="0" w:tplc="6E204118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9110A5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6A7A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0895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C651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6085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C2BD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4094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EED1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6142877">
    <w:abstractNumId w:val="1"/>
  </w:num>
  <w:num w:numId="2" w16cid:durableId="123990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F3"/>
    <w:rsid w:val="00027F4F"/>
    <w:rsid w:val="000671F3"/>
    <w:rsid w:val="000F6FC7"/>
    <w:rsid w:val="00155BAF"/>
    <w:rsid w:val="00245E2C"/>
    <w:rsid w:val="00285978"/>
    <w:rsid w:val="002A2B3A"/>
    <w:rsid w:val="00336733"/>
    <w:rsid w:val="003E0EC3"/>
    <w:rsid w:val="0043064A"/>
    <w:rsid w:val="004C4F20"/>
    <w:rsid w:val="004E4C4C"/>
    <w:rsid w:val="005872E2"/>
    <w:rsid w:val="005D2D4C"/>
    <w:rsid w:val="00620C9B"/>
    <w:rsid w:val="006E4837"/>
    <w:rsid w:val="0079244D"/>
    <w:rsid w:val="00814F9B"/>
    <w:rsid w:val="008E77C5"/>
    <w:rsid w:val="00A554FE"/>
    <w:rsid w:val="00A60565"/>
    <w:rsid w:val="00A74F2B"/>
    <w:rsid w:val="00A83F0F"/>
    <w:rsid w:val="00AC3064"/>
    <w:rsid w:val="00BA57B7"/>
    <w:rsid w:val="00BB39F1"/>
    <w:rsid w:val="00C045AD"/>
    <w:rsid w:val="00C124FE"/>
    <w:rsid w:val="00DF7F41"/>
    <w:rsid w:val="00E507BD"/>
    <w:rsid w:val="00E920F3"/>
    <w:rsid w:val="00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2FDB"/>
  <w15:chartTrackingRefBased/>
  <w15:docId w15:val="{15A73EF8-EDBA-4125-9954-3843F30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Theme="minorHAnsi" w:hAnsi="JohnSans Text Pro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1F3"/>
    <w:pPr>
      <w:widowControl w:val="0"/>
      <w:spacing w:line="311" w:lineRule="auto"/>
      <w:jc w:val="both"/>
    </w:pPr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71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71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71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71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71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71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71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67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71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71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71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71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71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71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71F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067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06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71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71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7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71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0671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71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7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71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71F3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link w:val="Odstavecseseznamem"/>
    <w:uiPriority w:val="99"/>
    <w:rsid w:val="000671F3"/>
  </w:style>
  <w:style w:type="paragraph" w:styleId="Textpoznpodarou">
    <w:name w:val="footnote text"/>
    <w:basedOn w:val="Normln"/>
    <w:link w:val="TextpoznpodarouChar"/>
    <w:uiPriority w:val="99"/>
    <w:rsid w:val="000671F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71F3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character" w:styleId="Znakapoznpodarou">
    <w:name w:val="footnote reference"/>
    <w:uiPriority w:val="99"/>
    <w:rsid w:val="000671F3"/>
    <w:rPr>
      <w:rFonts w:ascii="Times New Roman" w:hAnsi="Times New Roman" w:cs="Times New Roman"/>
      <w:sz w:val="22"/>
      <w:szCs w:val="22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39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9F1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BB39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9F1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character" w:styleId="slostrnky">
    <w:name w:val="page number"/>
    <w:basedOn w:val="Standardnpsmoodstavce"/>
    <w:rsid w:val="0062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B7B1-AB0A-4E94-B22A-3B76C5C6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2352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Pertlickova Katerina</dc:creator>
  <cp:keywords/>
  <dc:description/>
  <cp:lastModifiedBy>Berberova Tereza</cp:lastModifiedBy>
  <cp:revision>11</cp:revision>
  <dcterms:created xsi:type="dcterms:W3CDTF">2024-11-07T16:17:00Z</dcterms:created>
  <dcterms:modified xsi:type="dcterms:W3CDTF">2024-12-04T11:16:00Z</dcterms:modified>
</cp:coreProperties>
</file>